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8F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360" w:lineRule="auto"/>
        <w:ind w:left="0" w:leftChars="0" w:right="0" w:rightChars="0" w:firstLine="72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36"/>
          <w:szCs w:val="36"/>
          <w:highlight w:val="none"/>
        </w:rPr>
        <w:t>造价咨询企业行业内卷与经营成本现状调查问卷</w:t>
      </w:r>
    </w:p>
    <w:p w14:paraId="2C9BF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尊敬的各造价咨询企业负责人、管理人员：</w:t>
      </w:r>
    </w:p>
    <w:p w14:paraId="14F55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为精准梳理当前造价咨询行业内卷竞争现状、深挖问题根源、优化行业经营生态、规范行业取费与成本管控体系，助力企业高质量差异化发展，特开展本次专项问卷调查。</w:t>
      </w:r>
    </w:p>
    <w:p w14:paraId="5DEAF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本次问卷实行匿名作答，所有数据仅用于行业调研分析，严格保密企业商业信息，请您结合企业实际经营情况如实填写，感谢您的支持与配合！</w:t>
      </w:r>
    </w:p>
    <w:p w14:paraId="015D3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填写说明：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选择题可根据实际情况多选/单选，简答题请结合企业真实情况简要作答。</w:t>
      </w:r>
    </w:p>
    <w:p w14:paraId="408C2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bookmarkStart w:id="0" w:name="heading_0"/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highlight w:val="none"/>
        </w:rPr>
        <w:t>一、企业基本信息</w:t>
      </w:r>
      <w:bookmarkEnd w:id="0"/>
    </w:p>
    <w:p w14:paraId="2F186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贵企业从业年限（）</w:t>
      </w:r>
    </w:p>
    <w:p w14:paraId="759EC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A.3年以内</w:t>
      </w:r>
    </w:p>
    <w:p w14:paraId="1BE5D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B.3-10年</w:t>
      </w:r>
    </w:p>
    <w:p w14:paraId="72C97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C.10-20年</w:t>
      </w:r>
    </w:p>
    <w:p w14:paraId="4A6F5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D.20年以上</w:t>
      </w:r>
    </w:p>
    <w:p w14:paraId="12B17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贵企业规模（在岗专业技术人员）（）</w:t>
      </w:r>
    </w:p>
    <w:p w14:paraId="55246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A.10人以内</w:t>
      </w:r>
    </w:p>
    <w:p w14:paraId="14023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B.10-30人</w:t>
      </w:r>
    </w:p>
    <w:p w14:paraId="4C93A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C.30-50人</w:t>
      </w:r>
    </w:p>
    <w:p w14:paraId="47CF2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D.50人以上</w:t>
      </w:r>
    </w:p>
    <w:p w14:paraId="32799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bookmarkStart w:id="1" w:name="heading_1"/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highlight w:val="none"/>
        </w:rPr>
        <w:t>二、企业“内卷式”竞争具体表现调研</w:t>
      </w:r>
      <w:bookmarkEnd w:id="1"/>
    </w:p>
    <w:p w14:paraId="10264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  <w:t>在企业承接造价咨询项目过程中，本行业低价恶性竞争现象的普遍程度为（）</w:t>
      </w:r>
    </w:p>
    <w:p w14:paraId="141B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  <w:t>A.非常普遍，多数项目存在低价竞标、压价接单情况</w:t>
      </w:r>
    </w:p>
    <w:p w14:paraId="60AB2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  <w:t>B.一般，部分中小项目存在低价竞争，大型项目相对规范</w:t>
      </w:r>
    </w:p>
    <w:p w14:paraId="7F9EA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  <w:t>C.较少，行业竞争相对理性，基本遵循标准取费</w:t>
      </w:r>
    </w:p>
    <w:p w14:paraId="35A00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D.几乎没有</w:t>
      </w:r>
    </w:p>
    <w:p w14:paraId="55B90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贵企业所在区域造价咨询行业，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人才互挖、无序抢人的内卷表现是否突出（）</w:t>
      </w:r>
    </w:p>
    <w:p w14:paraId="16AFC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A.非常突出，同行频繁高薪挖取注册造价师、骨干技术人员</w:t>
      </w:r>
    </w:p>
    <w:p w14:paraId="29278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B.偶尔发生，核心人才存在少量流动、互挖情况</w:t>
      </w:r>
    </w:p>
    <w:p w14:paraId="57820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C.基本稳定，人才流动以自主择业为主，无恶意互挖现象</w:t>
      </w:r>
    </w:p>
    <w:p w14:paraId="6D915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项目承接阶段，行业内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过度承诺、超范围服务承诺的内卷行为主要表现为（可多选）（）</w:t>
      </w:r>
    </w:p>
    <w:p w14:paraId="4381D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A.免费增加概算、结算、对账等额外服务内容</w:t>
      </w:r>
    </w:p>
    <w:p w14:paraId="74984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B.承诺缩短远超行业常规的服务周期、交付工期</w:t>
      </w:r>
    </w:p>
    <w:p w14:paraId="6B2DB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C.无条件承诺项目零变更、零争议等不合理条款</w:t>
      </w:r>
    </w:p>
    <w:p w14:paraId="418DA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D.无过度承诺现象</w:t>
      </w:r>
    </w:p>
    <w:p w14:paraId="099E1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近三年，贵企业在承揽造价咨询业务过程中，接触或参与过下列哪些竞争行为？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(多选)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请在勾选项目的括号内注明发生频次：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>A—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经常发生／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>B—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偶尔发生／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>C—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未遇到）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eastAsia="zh-CN"/>
        </w:rPr>
        <w:t>）</w:t>
      </w:r>
    </w:p>
    <w:p w14:paraId="7280B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零收费、象征性收费（如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“0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元中标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”“1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元中标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）（　）</w:t>
      </w:r>
    </w:p>
    <w:p w14:paraId="6680A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报价明显低于完成项目所需的合理成本（如低于行业参考标准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5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折及以下）　（　）</w:t>
      </w:r>
    </w:p>
    <w:p w14:paraId="40961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免费追加服务（免费编制、免费复核、免费多轮修改、免费培训等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（　）</w:t>
      </w:r>
    </w:p>
    <w:p w14:paraId="45DBC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承诺赠送软件、工具、资料，或承担约定服务以外的额外投入　（　）</w:t>
      </w:r>
    </w:p>
    <w:p w14:paraId="6CE42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接受超长付款账期、垫资服务，或仅按审减额提成计费　（　）</w:t>
      </w:r>
    </w:p>
    <w:p w14:paraId="35C94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承诺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包通过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保证核减率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，或出具倾向性咨询意见　（　）</w:t>
      </w:r>
    </w:p>
    <w:p w14:paraId="2A93C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中标后转包、分包，或临时拼凑人员实施　（　）</w:t>
      </w:r>
    </w:p>
    <w:p w14:paraId="153EB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以明显低于市场水平的薪酬挖人，或接受挂靠执业　（　）</w:t>
      </w:r>
    </w:p>
    <w:p w14:paraId="45954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其他（请注明）：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　（　）</w:t>
      </w:r>
    </w:p>
    <w:p w14:paraId="31C8B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（开放题）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除价格竞争外，贵企业在日常经营中还感受到哪些非价格层面的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内卷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？请结合具体事例简要说明（如无底线压缩工期、无限次响应、关系维护成本上升、恶性挖人、资质挂靠、非本项目人员署名等）。</w:t>
      </w:r>
    </w:p>
    <w:p w14:paraId="7978A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55808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（两个小问，各选一项）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与三年前相比，贵企业主要造价咨询业务的变化情况：</w:t>
      </w:r>
    </w:p>
    <w:p w14:paraId="1E3F8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）平均成交费率：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下降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30%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以上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下降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10%—30%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基本持平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有所上升</w:t>
      </w:r>
    </w:p>
    <w:p w14:paraId="2273D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）单个项目实际投入的人工数量（人日）：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明显减少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略有减少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基本持平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增加</w:t>
      </w:r>
    </w:p>
    <w:p w14:paraId="34675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</w:pPr>
      <w:bookmarkStart w:id="5" w:name="_GoBack"/>
      <w:bookmarkEnd w:id="5"/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7、结合本企业实际，谈谈“内卷式”竞争的具体表现形式：</w:t>
      </w:r>
    </w:p>
    <w:p w14:paraId="0F3A3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bookmarkStart w:id="2" w:name="heading_2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488E1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highlight w:val="none"/>
        </w:rPr>
        <w:t>三、行业内卷深层次成因调研</w:t>
      </w:r>
      <w:bookmarkEnd w:id="2"/>
    </w:p>
    <w:p w14:paraId="12CC0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您认为造成造价咨询行业内卷竞争的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市场供需核心原因是（可多选）（）</w:t>
      </w:r>
    </w:p>
    <w:p w14:paraId="513FA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A.行业准入门槛降低，中小咨询企业数量激增，市场供给过剩</w:t>
      </w:r>
    </w:p>
    <w:p w14:paraId="2DF7A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B.基建、地产等上下游市场萎缩，项目资源大幅减少，需求不足</w:t>
      </w:r>
    </w:p>
    <w:p w14:paraId="77210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C.同质化企业过多，业务模式、服务内容高度重合，无竞争壁垒</w:t>
      </w:r>
    </w:p>
    <w:p w14:paraId="2B2F6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D.市场信息不透明，小型企业无序抢占低端市场</w:t>
      </w:r>
    </w:p>
    <w:p w14:paraId="30B0E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  <w:t>当前行业取费机制存在哪些问题加剧内卷竞争（可多选）（）</w:t>
      </w:r>
    </w:p>
    <w:p w14:paraId="53E9F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A.官方取费标准滞后，与当前市场成本、人工薪资不匹配</w:t>
      </w:r>
    </w:p>
    <w:p w14:paraId="30F07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B.无强制取费底线约束，低价竞标、折价接单无管控依据</w:t>
      </w:r>
    </w:p>
    <w:p w14:paraId="05F28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C.甲方压价常态化，默认低价优先的遴选规则，倒逼企业降价</w:t>
      </w:r>
    </w:p>
    <w:p w14:paraId="35394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D.取费分级不清晰，不同规模、不同难度项目取费无差异化标准</w:t>
      </w:r>
    </w:p>
    <w:p w14:paraId="41E2C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您认为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行业监管环境对无序内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卷的约束短板主要是（）</w:t>
      </w:r>
    </w:p>
    <w:p w14:paraId="0D364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A.低价竞争、恶意抢单行为缺乏常态化监管与处罚机制</w:t>
      </w:r>
    </w:p>
    <w:p w14:paraId="5A94A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B.行业自律约束力弱，违规竞争企业无信用惩戒</w:t>
      </w:r>
    </w:p>
    <w:p w14:paraId="4BB60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C.服务质量考核机制不完善，低价低质项目无人追责</w:t>
      </w:r>
    </w:p>
    <w:p w14:paraId="1E8A4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D.监管体系完善，可有效遏制行业内卷</w:t>
      </w:r>
    </w:p>
    <w:p w14:paraId="31B24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您认为下列因素对当前行业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内卷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的影响程度如何？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（多选，请从中选出您认为最关键的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 xml:space="preserve"> 3 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项，并按影响程度由大到小排序）</w:t>
      </w:r>
    </w:p>
    <w:p w14:paraId="2D39F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造价咨询资质取消、准入门槛降低，市场供给过剩</w:t>
      </w:r>
    </w:p>
    <w:p w14:paraId="1100B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基础业务（算量、计价）高度同质化，差异化服务能力不足</w:t>
      </w:r>
    </w:p>
    <w:p w14:paraId="0E00A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采购与评标规则重价轻质（价格分权重过高、以最低价为满分基准价、技术分权重偏低）</w:t>
      </w:r>
    </w:p>
    <w:p w14:paraId="47976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委托方压价，或设置不合理计费方式（不设基本费、仅对审减额支付奖励性委托费）</w:t>
      </w:r>
    </w:p>
    <w:p w14:paraId="68D88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投资规模收缩、市场需求总量下降，企业为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保生存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被迫抢单</w:t>
      </w:r>
    </w:p>
    <w:p w14:paraId="6B816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企业内部考核以营业收入规模、项目数量为导向，忽视质量与价值贡献</w:t>
      </w:r>
    </w:p>
    <w:p w14:paraId="6D0F6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数字化工具普及，基础服务可替代性增强</w:t>
      </w:r>
    </w:p>
    <w:p w14:paraId="07B97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行业监管与信用约束不足，违规执业成本低</w:t>
      </w:r>
    </w:p>
    <w:p w14:paraId="73331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行业协会自律与成本指导缺失，缺乏价格信息引导</w:t>
      </w:r>
    </w:p>
    <w:p w14:paraId="4E788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人才结构性失衡，高端人才短缺、低端人员过剩</w:t>
      </w:r>
    </w:p>
    <w:p w14:paraId="07653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其他（请注明）：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29F1A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您认为最关键的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3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项（按影响程度排序）：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</w:t>
      </w:r>
    </w:p>
    <w:p w14:paraId="33563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（开放题）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从企业自身看，贵企业在什么情况下会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不得不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接受低于合理水平的报价？（如固定成本与人员规模刚性、业绩与资质维护需要、现金流压力、股东或集团考核要求、区域市场高度依赖等）请简要说明。</w:t>
      </w:r>
    </w:p>
    <w:p w14:paraId="7ADA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014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（限选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 xml:space="preserve"> 1 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项并简述理由）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在问题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所列因素中，您认为最根本的一个原因是什么？为什么？</w:t>
      </w:r>
    </w:p>
    <w:p w14:paraId="48C8A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792B9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7、分析“内卷”产生的深层次原因，包括市场供需、取费机制、监管环境等;</w:t>
      </w:r>
    </w:p>
    <w:p w14:paraId="10710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5B7CD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bookmarkStart w:id="3" w:name="heading_3"/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highlight w:val="none"/>
        </w:rPr>
        <w:t>四、行业内卷治理与企业发展对策调研</w:t>
      </w:r>
      <w:bookmarkEnd w:id="3"/>
    </w:p>
    <w:p w14:paraId="05668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您认为遏制行业低价内卷、无序竞争，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行业自律最有效的举措是（可多选）（）</w:t>
      </w:r>
    </w:p>
    <w:p w14:paraId="563F4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A.行业协会统一划定最低取费红线，杜绝恶意低价接单</w:t>
      </w:r>
    </w:p>
    <w:p w14:paraId="79E05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B.建立行业黑名单，公示低价恶性竞争、恶意抢单企业</w:t>
      </w:r>
    </w:p>
    <w:p w14:paraId="4D8DF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C.搭建行业交流平台，规范企业经营、竞标、用人行为</w:t>
      </w:r>
    </w:p>
    <w:p w14:paraId="67A02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D.开展行业评优评级，引导企业注重服务质量而非低价竞争</w:t>
      </w:r>
    </w:p>
    <w:p w14:paraId="256D1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  <w:t>为规避同质化内卷，贵企业未来优先选择的差异化发展方向是（可多选）（）</w:t>
      </w:r>
    </w:p>
    <w:p w14:paraId="18D47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A.深耕细分领域（市政、装配式、新能源、水利等专项造价咨询）</w:t>
      </w:r>
    </w:p>
    <w:p w14:paraId="530F4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B.拓展全过程工程咨询、造价管控、法务造价等增值服务</w:t>
      </w:r>
    </w:p>
    <w:p w14:paraId="3C0CE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C.数字化转型，依托造价软件、大数据提升服务效率与精度</w:t>
      </w:r>
    </w:p>
    <w:p w14:paraId="63B9B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D.聚焦高端项目，放弃低端低价市场，主打品质化服务</w:t>
      </w:r>
    </w:p>
    <w:p w14:paraId="33449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下列举措，贵企业的实施情况是：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（企业层面，多选，并请对每项标注状态：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>①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已实施／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>②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计划实施／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>③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暂不考虑）</w:t>
      </w:r>
    </w:p>
    <w:p w14:paraId="6C3ED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聚焦细分赛道（全过程造价咨询、司法鉴定、纠纷调解、政府专项债及预算绩效评价等）　（　）</w:t>
      </w:r>
    </w:p>
    <w:p w14:paraId="36D4B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数字化建设（智能算量、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BIM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、企业造价数据库、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AI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辅助审核）　（　）</w:t>
      </w:r>
    </w:p>
    <w:p w14:paraId="00407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服务产品化，拓展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工程造价＋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X”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等高附加值增值服务　（　）</w:t>
      </w:r>
    </w:p>
    <w:p w14:paraId="0A258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收费模式创新（基础费＋绩效、驻场服务按人月计费、常年顾问年费）　（　）</w:t>
      </w:r>
    </w:p>
    <w:p w14:paraId="1C2E8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质量与内控体系建设（三级复核、误差率控制、成果文件质量追责）　（　）</w:t>
      </w:r>
    </w:p>
    <w:p w14:paraId="54F59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人才结构与激励改革（合伙人机制、专业序列、培训投入）　（　）</w:t>
      </w:r>
    </w:p>
    <w:p w14:paraId="174EB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主动退出低价内卷业务，放弃无合理利润的项目　（　）</w:t>
      </w:r>
    </w:p>
    <w:p w14:paraId="594B5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您认为行业协会最应优先推动下列哪些工作？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（行业协会层面，多选）</w:t>
      </w:r>
    </w:p>
    <w:p w14:paraId="4BA53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组织成本测算，发布行业成本指导价及人工工日（人月）成本参考标准</w:t>
      </w:r>
    </w:p>
    <w:p w14:paraId="0A561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建立异常低价监测与预警机制，向委托方和监管部门发出风险提示</w:t>
      </w:r>
    </w:p>
    <w:p w14:paraId="23021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制定并落实行业自律公约，对恶意低价、违规执业行为实施惩戒</w:t>
      </w:r>
    </w:p>
    <w:p w14:paraId="79D84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建立信用评价体系，并与招投标、政府项目遴选直接联动</w:t>
      </w:r>
    </w:p>
    <w:p w14:paraId="56F69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推动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优质优价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评审规则改革（提高技术分权重、取消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最低价为满分基准价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</w:t>
      </w:r>
    </w:p>
    <w:p w14:paraId="0CEA1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培育标杆企业，推广差异化、数字化发展经验</w:t>
      </w:r>
    </w:p>
    <w:p w14:paraId="1B493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组织专业培训，建设行业人才库</w:t>
      </w:r>
    </w:p>
    <w:p w14:paraId="2FED8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其他（请注明）：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73E4A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您建议政府部门优先完善下列哪些方面？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（政府及制度层面，多选）</w:t>
      </w:r>
    </w:p>
    <w:p w14:paraId="1EBC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明确造价咨询服务计价规则与取费参考标准</w:t>
      </w:r>
    </w:p>
    <w:p w14:paraId="6E7E1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改革评标办法：提高技术分权重、降低报价分权重、限制异常低价投标</w:t>
      </w:r>
    </w:p>
    <w:p w14:paraId="110D2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强化委托方责任：不得迫使企业低于成本报价、不得仅对审减额支付奖励性委托费、按期足额支付咨询费</w:t>
      </w:r>
    </w:p>
    <w:p w14:paraId="58099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加强事中事后监管：成果质量抽查、明确经济赔偿责任、提高违规成本</w:t>
      </w:r>
    </w:p>
    <w:p w14:paraId="31FB1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完善信用信息共享与跨部门联合惩戒，形成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一处失信、处处受限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</w:p>
    <w:p w14:paraId="1E99A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推动工程造价数据共享与公共数据平台建设</w:t>
      </w:r>
    </w:p>
    <w:p w14:paraId="1D8CD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其他（请注明）：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15AFE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您认为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取费标准优化如何有效引导行业良性竞争（简答）</w:t>
      </w:r>
    </w:p>
    <w:p w14:paraId="590D7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3E79C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7、提出有针对性的对策建议，比如行业自律、取费标准引导、差异化发展等</w:t>
      </w:r>
    </w:p>
    <w:p w14:paraId="0D09D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trike/>
          <w:dstrike w:val="0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01A99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highlight w:val="none"/>
        </w:rPr>
      </w:pPr>
      <w:bookmarkStart w:id="4" w:name="heading_4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highlight w:val="none"/>
        </w:rPr>
        <w:t>五、企业造价咨询服务成本与低价预警机制调研</w:t>
      </w:r>
      <w:bookmarkEnd w:id="4"/>
    </w:p>
    <w:p w14:paraId="54C76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贵企业造价咨询服务核心成本构成占比最高的是（可多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选）（）</w:t>
      </w:r>
    </w:p>
    <w:p w14:paraId="0110C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A.专业技术人员薪资、社保、福利成本（核心）</w:t>
      </w:r>
    </w:p>
    <w:p w14:paraId="188EF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B.办公场地、设备、数字化系统运维成本</w:t>
      </w:r>
    </w:p>
    <w:p w14:paraId="608A2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C.项目外勤、差旅、资料编制等项目落地成本</w:t>
      </w:r>
    </w:p>
    <w:p w14:paraId="31813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D.企业资质维护、培训、合规管理成本</w:t>
      </w:r>
    </w:p>
    <w:p w14:paraId="10900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结合企业运营成本，贵企业可承受的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28"/>
          <w:highlight w:val="none"/>
        </w:rPr>
        <w:t>项目取费最低底线为行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业标准取费的（）</w:t>
      </w:r>
    </w:p>
    <w:p w14:paraId="01155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A.50%以下</w:t>
      </w:r>
    </w:p>
    <w:p w14:paraId="5935F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B.50%-60%</w:t>
      </w:r>
    </w:p>
    <w:p w14:paraId="0A698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C.60%-70%</w:t>
      </w:r>
    </w:p>
    <w:p w14:paraId="4C46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D.70%以上（可保本微利）</w:t>
      </w:r>
    </w:p>
    <w:p w14:paraId="73B34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贵企业承接造价咨询服务项目时，成本构成及占比约为：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（成本构成，请填写各项大致占比，合计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</w:rPr>
        <w:t xml:space="preserve"> 100%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）</w:t>
      </w:r>
    </w:p>
    <w:p w14:paraId="41914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专业技术人员薪酬及社保、公积金：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________%</w:t>
      </w:r>
    </w:p>
    <w:p w14:paraId="169F6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管理人员及行政后勤分摊：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________%</w:t>
      </w:r>
    </w:p>
    <w:p w14:paraId="1A12C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软件、数据库及信息化费用：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________%</w:t>
      </w:r>
    </w:p>
    <w:p w14:paraId="0DCA3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差旅、现场驻场及办公费用：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________%</w:t>
      </w:r>
    </w:p>
    <w:p w14:paraId="5BB7D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房租、水电等固定成本与资产折旧：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________%</w:t>
      </w:r>
    </w:p>
    <w:p w14:paraId="11813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税费：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________%</w:t>
      </w:r>
    </w:p>
    <w:p w14:paraId="66BA7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质量与风险准备金、其他：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________%</w:t>
      </w:r>
    </w:p>
    <w:p w14:paraId="5DA78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color w:val="auto"/>
          <w:sz w:val="28"/>
          <w:szCs w:val="28"/>
          <w:highlight w:val="none"/>
          <w:lang w:eastAsia="zh-CN"/>
        </w:rPr>
        <w:t>（取费底线：依据与水平）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贵企业确定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取费底线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（保本线）的主要依据是（可多选）：</w:t>
      </w:r>
    </w:p>
    <w:p w14:paraId="22816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按人工工日（人月）成本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×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投入工作量测算</w:t>
      </w:r>
    </w:p>
    <w:p w14:paraId="4C658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参照行业协会成本指导价下限，或行业参考标准的某一比例（如不低于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80%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</w:t>
      </w:r>
    </w:p>
    <w:p w14:paraId="381CA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按项目造价的费率下限（如不低于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________‰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</w:t>
      </w:r>
    </w:p>
    <w:p w14:paraId="50EDE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按历史项目实际成本核算</w:t>
      </w:r>
    </w:p>
    <w:p w14:paraId="3CA3F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主要凭经验与竞争判断，尚未系统测算</w:t>
      </w:r>
    </w:p>
    <w:p w14:paraId="5964B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请填写贵企业相关业务的取费底线大致水平（可填费率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、元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/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平方米、人日单价，或相当于行业参考标准的折扣）：</w:t>
      </w:r>
    </w:p>
    <w:p w14:paraId="6014B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预（结）算编制类：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6AF4B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竣工结算审核类：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1AEFB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全过程造价咨询／跟踪审计类：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4C4BD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color w:val="auto"/>
          <w:sz w:val="28"/>
          <w:szCs w:val="28"/>
          <w:highlight w:val="none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低价竞争预警线应如何设定（可多选）：</w:t>
      </w:r>
    </w:p>
    <w:p w14:paraId="0A3D9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低于行业协会发布的成本指导价下限</w:t>
      </w:r>
    </w:p>
    <w:p w14:paraId="156F8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低于成本指导价的某一比例（如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 80%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</w:t>
      </w:r>
    </w:p>
    <w:p w14:paraId="68D6D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低于本企业测算的项目成本</w:t>
      </w:r>
    </w:p>
    <w:p w14:paraId="0393F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低于按项目人员配备、服务周期及当地最低工资标准计算的费用</w:t>
      </w:r>
    </w:p>
    <w:p w14:paraId="64257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由招标人（委托方）自行判断</w:t>
      </w:r>
    </w:p>
    <w:p w14:paraId="2DCE5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其他（请注明）：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70711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由哪一方采取何种干预最为有效（可多选）：</w:t>
      </w:r>
    </w:p>
    <w:p w14:paraId="02834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行业协会核查后向委托方、监管部门发出风险提示函</w:t>
      </w:r>
    </w:p>
    <w:p w14:paraId="5086C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监管部门约谈、纳入重点监管名单并开展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双随机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抽查</w:t>
      </w:r>
    </w:p>
    <w:p w14:paraId="453CB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招标人要求投标人书面说明报价合理性并复核成本</w:t>
      </w:r>
    </w:p>
    <w:p w14:paraId="76AA3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信用扣分与失信记录，限制其参与政府及国有投资项目</w:t>
      </w:r>
    </w:p>
    <w:p w14:paraId="4BE4B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行业内通报，形成声誉约束</w:t>
      </w:r>
    </w:p>
    <w:p w14:paraId="72FE9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其他（请注明）：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</w:t>
      </w:r>
    </w:p>
    <w:p w14:paraId="54254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8、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当项目报价低于贵企业取费底线时，通常的处理方式是（单选）：</w:t>
      </w:r>
    </w:p>
    <w:p w14:paraId="51A66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放弃投标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降价承接，同时压缩服务投入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与委托方协商调整服务内容或价格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 xml:space="preserve">□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坚持底线，不参与该项目</w:t>
      </w:r>
    </w:p>
    <w:p w14:paraId="2EFA2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highlight w:val="none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贵企业是否已建立内部报价审批的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红线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制度？如已建立，请简述触发条件、审批层级及执行效果。</w:t>
      </w:r>
    </w:p>
    <w:p w14:paraId="67BE3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62030DD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10、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  <w:t>针对行业低价竞争，您认为需要建立哪些预警与干预机制（简答）</w:t>
      </w:r>
    </w:p>
    <w:p w14:paraId="2E4E2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43243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11、围绕造价咨询服务成本测算，谈谈本企业的成本构成、取费底线，以及对低价竞争预警、干预机制的建议。</w:t>
      </w:r>
    </w:p>
    <w:p w14:paraId="773AE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______________________________________________</w:t>
      </w:r>
    </w:p>
    <w:p w14:paraId="021451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</w:rPr>
      </w:pPr>
    </w:p>
    <w:p w14:paraId="51521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highlight w:val="none"/>
        </w:rPr>
        <w:t>问卷作答完毕，再次感谢您的真诚作答与大力支持！</w:t>
      </w:r>
    </w:p>
    <w:p w14:paraId="5384B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</w:p>
    <w:sectPr>
      <w:headerReference r:id="rId3" w:type="default"/>
      <w:footerReference r:id="rId4" w:type="default"/>
      <w:pgSz w:w="11905" w:h="16840"/>
      <w:pgMar w:top="1440" w:right="1080" w:bottom="144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D2F8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5DC3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D2B07"/>
    <w:rsid w:val="0D0227BA"/>
    <w:rsid w:val="15830203"/>
    <w:rsid w:val="3D787EC4"/>
    <w:rsid w:val="5B161A8B"/>
    <w:rsid w:val="69872FA0"/>
    <w:rsid w:val="72D80A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379</Words>
  <Characters>415</Characters>
  <TotalTime>21</TotalTime>
  <ScaleCrop>false</ScaleCrop>
  <LinksUpToDate>false</LinksUpToDate>
  <CharactersWithSpaces>415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2026-10-13T05:06:00Z</dcterms:created>
  <dc:creator>Apache POI</dc:creator>
  <cp:lastModifiedBy>铭珊</cp:lastModifiedBy>
  <dcterms:modified xsi:type="dcterms:W3CDTF">2026-10-14T02:56:38Z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{"Label":"1","ContentProducer":"001191110102MACQD9K64010000","ProduceID":"7696014367011671269","ReservedCode1":"","ContentPropagator":"","PropagateID":"","ReservedCode2":""}</vt:lpwstr>
  </property>
  <property fmtid="{D5CDD505-2E9C-101B-9397-08002B2CF9AE}" pid="3" name="KSOTemplateDocerSaveRecord">
    <vt:lpwstr>eyJoZGlkIjoiNWE5MDI4MTAzYmY3ZjEyM2FiMmUyMTMzMjUzM2JhNjQiLCJ1c2VySWQiOiIxMTM3MjExNjA3In0=</vt:lpwstr>
  </property>
  <property fmtid="{D5CDD505-2E9C-101B-9397-08002B2CF9AE}" pid="4" name="KSOProductBuildVer">
    <vt:lpwstr>2052-12.1.0.28505</vt:lpwstr>
  </property>
  <property fmtid="{D5CDD505-2E9C-101B-9397-08002B2CF9AE}" pid="5" name="ICV">
    <vt:lpwstr>4D3DE9FCA42C413CAC968E404F530856_13</vt:lpwstr>
  </property>
</Properties>
</file>